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57" w:rsidRPr="009A7CD6" w:rsidRDefault="001B46D7" w:rsidP="00314E57">
      <w:pPr>
        <w:rPr>
          <w:rFonts w:ascii="Calibri" w:eastAsia="Times New Roman" w:hAnsi="Calibri" w:cs="Arial"/>
          <w:color w:val="000000"/>
          <w:sz w:val="32"/>
          <w:shd w:val="clear" w:color="auto" w:fill="FFFFFF"/>
        </w:rPr>
      </w:pPr>
      <w:r w:rsidRPr="009A7CD6">
        <w:rPr>
          <w:rFonts w:ascii="Calibri" w:eastAsia="Times New Roman" w:hAnsi="Calibri" w:cs="Arial"/>
          <w:color w:val="000000"/>
          <w:sz w:val="32"/>
          <w:shd w:val="clear" w:color="auto" w:fill="FFFFFF"/>
        </w:rPr>
        <w:t>Model</w:t>
      </w:r>
      <w:r w:rsidR="00524F2B" w:rsidRPr="009A7CD6">
        <w:rPr>
          <w:rFonts w:ascii="Calibri" w:eastAsia="Times New Roman" w:hAnsi="Calibri" w:cs="Arial"/>
          <w:color w:val="000000"/>
          <w:sz w:val="32"/>
          <w:shd w:val="clear" w:color="auto" w:fill="FFFFFF"/>
        </w:rPr>
        <w:t xml:space="preserve"> Zoning </w:t>
      </w:r>
      <w:r w:rsidR="00A85523" w:rsidRPr="009A7CD6">
        <w:rPr>
          <w:rFonts w:ascii="Calibri" w:eastAsia="Times New Roman" w:hAnsi="Calibri" w:cs="Arial"/>
          <w:color w:val="000000"/>
          <w:sz w:val="32"/>
          <w:shd w:val="clear" w:color="auto" w:fill="FFFFFF"/>
        </w:rPr>
        <w:t xml:space="preserve">Code for Solar </w:t>
      </w:r>
      <w:r w:rsidR="00AF5CB3" w:rsidRPr="009A7CD6">
        <w:rPr>
          <w:rFonts w:ascii="Calibri" w:eastAsia="Times New Roman" w:hAnsi="Calibri" w:cs="Arial"/>
          <w:color w:val="000000"/>
          <w:sz w:val="32"/>
          <w:shd w:val="clear" w:color="auto" w:fill="FFFFFF"/>
        </w:rPr>
        <w:t xml:space="preserve">Energy Systems </w:t>
      </w:r>
      <w:r w:rsidR="00A85523" w:rsidRPr="009A7CD6">
        <w:rPr>
          <w:rFonts w:ascii="Calibri" w:eastAsia="Times New Roman" w:hAnsi="Calibri" w:cs="Arial"/>
          <w:color w:val="000000"/>
          <w:sz w:val="32"/>
          <w:shd w:val="clear" w:color="auto" w:fill="FFFFFF"/>
        </w:rPr>
        <w:t>in Historic Districts</w:t>
      </w:r>
    </w:p>
    <w:p w:rsidR="00CA4809" w:rsidRPr="009A7CD6" w:rsidRDefault="00A85523" w:rsidP="005E67A9">
      <w:pPr>
        <w:rPr>
          <w:rFonts w:ascii="Calibri" w:eastAsia="Times New Roman" w:hAnsi="Calibri" w:cs="Arial"/>
          <w:b/>
          <w:sz w:val="32"/>
          <w:szCs w:val="22"/>
          <w:shd w:val="clear" w:color="auto" w:fill="FFFFFF"/>
        </w:rPr>
      </w:pPr>
      <w:r w:rsidRPr="009A7CD6">
        <w:rPr>
          <w:rFonts w:ascii="Calibri" w:eastAsia="Times New Roman" w:hAnsi="Calibri" w:cs="Arial"/>
          <w:b/>
          <w:sz w:val="32"/>
          <w:szCs w:val="22"/>
          <w:shd w:val="clear" w:color="auto" w:fill="FFFFFF"/>
        </w:rPr>
        <w:t>City of Austin, Texas</w:t>
      </w:r>
    </w:p>
    <w:p w:rsidR="00A85523" w:rsidRPr="009A7CD6" w:rsidRDefault="00A85523" w:rsidP="005E67A9">
      <w:pPr>
        <w:rPr>
          <w:rFonts w:ascii="Calibri" w:eastAsia="Times New Roman" w:hAnsi="Calibri" w:cs="Arial"/>
          <w:b/>
          <w:sz w:val="22"/>
          <w:szCs w:val="22"/>
          <w:u w:val="single"/>
          <w:shd w:val="clear" w:color="auto" w:fill="FFFFFF"/>
        </w:rPr>
      </w:pPr>
    </w:p>
    <w:p w:rsidR="005E67A9" w:rsidRPr="009A7CD6" w:rsidRDefault="00CA4809" w:rsidP="005E67A9">
      <w:pPr>
        <w:rPr>
          <w:rFonts w:ascii="Calibri" w:eastAsia="Times New Roman" w:hAnsi="Calibri" w:cs="Arial"/>
          <w:b/>
          <w:sz w:val="22"/>
          <w:szCs w:val="22"/>
          <w:u w:val="single"/>
          <w:shd w:val="clear" w:color="auto" w:fill="FFFFFF"/>
        </w:rPr>
      </w:pPr>
      <w:r w:rsidRPr="009A7CD6">
        <w:rPr>
          <w:rFonts w:ascii="Calibri" w:eastAsia="Times New Roman" w:hAnsi="Calibri" w:cs="Arial"/>
          <w:b/>
          <w:sz w:val="22"/>
          <w:szCs w:val="22"/>
          <w:u w:val="single"/>
          <w:shd w:val="clear" w:color="auto" w:fill="FFFFFF"/>
        </w:rPr>
        <w:t>Historic Area District Ordinance and Preservation Plan Requirement</w:t>
      </w:r>
    </w:p>
    <w:p w:rsidR="005E67A9" w:rsidRPr="009A7CD6" w:rsidRDefault="00CA4809" w:rsidP="005E67A9">
      <w:pPr>
        <w:rPr>
          <w:rFonts w:ascii="Calibri" w:eastAsia="Times New Roman" w:hAnsi="Calibri" w:cs="Arial"/>
          <w:sz w:val="22"/>
          <w:szCs w:val="22"/>
          <w:shd w:val="clear" w:color="auto" w:fill="FFFFFF"/>
        </w:rPr>
      </w:pPr>
      <w:r w:rsidRPr="009A7CD6">
        <w:rPr>
          <w:rFonts w:ascii="Calibri" w:eastAsia="Times New Roman" w:hAnsi="Calibri" w:cs="Arial"/>
          <w:sz w:val="22"/>
          <w:szCs w:val="22"/>
          <w:shd w:val="clear" w:color="auto" w:fill="FFFFFF"/>
        </w:rPr>
        <w:t xml:space="preserve">Austin Zoning Code Section </w:t>
      </w:r>
      <w:r w:rsidRPr="009A7CD6">
        <w:rPr>
          <w:rFonts w:ascii="Calibri" w:eastAsia="Times New Roman" w:hAnsi="Calibri" w:cs="Times New Roman"/>
          <w:bCs/>
          <w:sz w:val="22"/>
          <w:szCs w:val="22"/>
          <w:shd w:val="clear" w:color="auto" w:fill="FFFFFF"/>
        </w:rPr>
        <w:t>25-2-356(C)</w:t>
      </w:r>
      <w:r w:rsidRPr="009A7CD6">
        <w:rPr>
          <w:rFonts w:ascii="Calibri" w:eastAsia="Times New Roman" w:hAnsi="Calibri" w:cs="Times New Roman"/>
          <w:sz w:val="22"/>
          <w:szCs w:val="22"/>
        </w:rPr>
        <w:t xml:space="preserve"> </w:t>
      </w:r>
      <w:r w:rsidRPr="009A7CD6">
        <w:rPr>
          <w:rFonts w:ascii="Calibri" w:eastAsia="Times New Roman" w:hAnsi="Calibri" w:cs="Arial"/>
          <w:sz w:val="22"/>
          <w:szCs w:val="22"/>
          <w:shd w:val="clear" w:color="auto" w:fill="FFFFFF"/>
        </w:rPr>
        <w:t>allows for preservation plan in historic districts to incorporate sustainability measures such as solar technologies and other energy gener</w:t>
      </w:r>
      <w:r w:rsidR="00A85523" w:rsidRPr="009A7CD6">
        <w:rPr>
          <w:rFonts w:ascii="Calibri" w:eastAsia="Times New Roman" w:hAnsi="Calibri" w:cs="Arial"/>
          <w:sz w:val="22"/>
          <w:szCs w:val="22"/>
          <w:shd w:val="clear" w:color="auto" w:fill="FFFFFF"/>
        </w:rPr>
        <w:t>ation and efficiency mechanisms:</w:t>
      </w:r>
      <w:bookmarkStart w:id="0" w:name="_GoBack"/>
      <w:bookmarkEnd w:id="0"/>
    </w:p>
    <w:p w:rsidR="00A85523" w:rsidRPr="009A7CD6" w:rsidRDefault="00A85523" w:rsidP="005E67A9">
      <w:pPr>
        <w:rPr>
          <w:rFonts w:ascii="Calibri" w:eastAsia="Times New Roman" w:hAnsi="Calibri" w:cs="Arial"/>
          <w:sz w:val="22"/>
          <w:szCs w:val="22"/>
          <w:shd w:val="clear" w:color="auto" w:fill="FFFFFF"/>
        </w:rPr>
      </w:pPr>
    </w:p>
    <w:p w:rsidR="00AF5CB3" w:rsidRPr="009A7CD6" w:rsidRDefault="00AF5CB3" w:rsidP="005E67A9">
      <w:pPr>
        <w:rPr>
          <w:rFonts w:ascii="Calibri" w:eastAsia="Times New Roman" w:hAnsi="Calibri" w:cs="Arial"/>
          <w:sz w:val="22"/>
          <w:szCs w:val="22"/>
          <w:shd w:val="clear" w:color="auto" w:fill="FFFFFF"/>
        </w:rPr>
      </w:pPr>
    </w:p>
    <w:p w:rsidR="00A85523" w:rsidRPr="00A85523" w:rsidRDefault="00A85523" w:rsidP="00A85523">
      <w:pPr>
        <w:rPr>
          <w:rFonts w:ascii="Calibri" w:eastAsia="Times New Roman" w:hAnsi="Calibri" w:cs="Times New Roman"/>
          <w:b/>
          <w:bCs/>
          <w:i/>
          <w:color w:val="000080"/>
          <w:sz w:val="20"/>
          <w:szCs w:val="22"/>
        </w:rPr>
      </w:pPr>
      <w:r w:rsidRPr="009A7CD6">
        <w:rPr>
          <w:rFonts w:ascii="Calibri" w:eastAsia="Times New Roman" w:hAnsi="Calibri" w:cs="Times New Roman"/>
          <w:b/>
          <w:bCs/>
          <w:i/>
          <w:noProof/>
          <w:color w:val="0000FF"/>
          <w:sz w:val="20"/>
          <w:szCs w:val="22"/>
        </w:rPr>
        <w:drawing>
          <wp:inline distT="0" distB="0" distL="0" distR="0">
            <wp:extent cx="203200" cy="203200"/>
            <wp:effectExtent l="0" t="0" r="0" b="0"/>
            <wp:docPr id="1" name="Picture 1" descr="oo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kmark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JD_25-2-356"/>
      <w:bookmarkEnd w:id="1"/>
      <w:r w:rsidRPr="00A85523">
        <w:rPr>
          <w:rFonts w:ascii="Calibri" w:eastAsia="Times New Roman" w:hAnsi="Calibri" w:cs="Times New Roman"/>
          <w:b/>
          <w:bCs/>
          <w:i/>
          <w:color w:val="000080"/>
          <w:sz w:val="20"/>
          <w:szCs w:val="22"/>
        </w:rPr>
        <w:t>§ 25-2-356</w:t>
      </w:r>
      <w:proofErr w:type="gramStart"/>
      <w:r w:rsidRPr="00A85523">
        <w:rPr>
          <w:rFonts w:ascii="Calibri" w:eastAsia="Times New Roman" w:hAnsi="Calibri" w:cs="Times New Roman"/>
          <w:b/>
          <w:bCs/>
          <w:i/>
          <w:color w:val="000080"/>
          <w:sz w:val="20"/>
          <w:szCs w:val="22"/>
        </w:rPr>
        <w:t>  HISTORIC</w:t>
      </w:r>
      <w:proofErr w:type="gramEnd"/>
      <w:r w:rsidRPr="00A85523">
        <w:rPr>
          <w:rFonts w:ascii="Calibri" w:eastAsia="Times New Roman" w:hAnsi="Calibri" w:cs="Times New Roman"/>
          <w:b/>
          <w:bCs/>
          <w:i/>
          <w:color w:val="000080"/>
          <w:sz w:val="20"/>
          <w:szCs w:val="22"/>
        </w:rPr>
        <w:t xml:space="preserve"> AREA DISTRICT ORDINANCE AND PRESERVATION PLAN REQUIREMENT.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(A)   An ordinance zoning or rezoning property as a historic area (HD) combining district must: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   (1)   </w:t>
      </w:r>
      <w:proofErr w:type="gramStart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describe</w:t>
      </w:r>
      <w:proofErr w:type="gramEnd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the character-defining features of the district;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   (2)   </w:t>
      </w:r>
      <w:proofErr w:type="gramStart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include</w:t>
      </w:r>
      <w:proofErr w:type="gramEnd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a plan to preserve those features; and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   (3)   </w:t>
      </w:r>
      <w:proofErr w:type="gramStart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list</w:t>
      </w:r>
      <w:proofErr w:type="gramEnd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the designated contributing structures.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(B)   A preservation plan may: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   (1)   </w:t>
      </w:r>
      <w:proofErr w:type="gramStart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modify</w:t>
      </w:r>
      <w:proofErr w:type="gramEnd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regulations relating to building setbacks, building height, compatibility, landscaping, parking, or signs; or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   (2)   </w:t>
      </w:r>
      <w:proofErr w:type="gramStart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prescribe</w:t>
      </w:r>
      <w:proofErr w:type="gramEnd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regulations relating to design, scale, or architectural character of, or materials for: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      (a)   </w:t>
      </w:r>
      <w:proofErr w:type="gramStart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the</w:t>
      </w:r>
      <w:proofErr w:type="gramEnd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exterior of a contributing structure or a new structure; or</w:t>
      </w:r>
    </w:p>
    <w:p w:rsidR="00A85523" w:rsidRPr="00A85523" w:rsidRDefault="00A85523" w:rsidP="00A85523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      (b)   </w:t>
      </w:r>
      <w:proofErr w:type="gramStart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public</w:t>
      </w:r>
      <w:proofErr w:type="gramEnd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facilities, including street lighting, street furniture, signs, landscaping, utility facilities, sidewalks, and streets.</w:t>
      </w:r>
    </w:p>
    <w:p w:rsidR="005E67A9" w:rsidRPr="009A7CD6" w:rsidRDefault="00A85523" w:rsidP="005C53A8">
      <w:pPr>
        <w:rPr>
          <w:rFonts w:ascii="Calibri" w:eastAsia="Times New Roman" w:hAnsi="Calibri" w:cs="Times New Roman"/>
          <w:i/>
          <w:color w:val="000000"/>
          <w:sz w:val="20"/>
          <w:szCs w:val="22"/>
        </w:rPr>
      </w:pP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   (C)   Consistent with the character-defining features of the district described under Subsection (A</w:t>
      </w:r>
      <w:proofErr w:type="gramStart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)(</w:t>
      </w:r>
      <w:proofErr w:type="gramEnd"/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1), a preservation plan proposed under Subsection (B) may allow and encourage property owners to utilize various external materials and mechanisms to promote sustainability, including but not</w:t>
      </w:r>
      <w:r w:rsidRPr="009A7CD6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</w:t>
      </w: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limited to roofing systems, solar technologies, energy</w:t>
      </w:r>
      <w:r w:rsidRPr="009A7CD6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</w:t>
      </w: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generation and</w:t>
      </w:r>
      <w:r w:rsidRPr="009A7CD6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</w:t>
      </w: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efficiency, water collection and reuse</w:t>
      </w:r>
      <w:r w:rsidRPr="009A7CD6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</w:t>
      </w: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,rain-collection systems and drought- tolerant, native, and edible landscaping and</w:t>
      </w:r>
      <w:r w:rsidRPr="009A7CD6">
        <w:rPr>
          <w:rFonts w:ascii="Calibri" w:eastAsia="Times New Roman" w:hAnsi="Calibri" w:cs="Times New Roman"/>
          <w:i/>
          <w:color w:val="000000"/>
          <w:sz w:val="20"/>
          <w:szCs w:val="22"/>
        </w:rPr>
        <w:t xml:space="preserve"> </w:t>
      </w:r>
      <w:r w:rsidRPr="00A85523">
        <w:rPr>
          <w:rFonts w:ascii="Calibri" w:eastAsia="Times New Roman" w:hAnsi="Calibri" w:cs="Times New Roman"/>
          <w:i/>
          <w:color w:val="000000"/>
          <w:sz w:val="20"/>
          <w:szCs w:val="22"/>
        </w:rPr>
        <w:t>gardens.</w:t>
      </w:r>
      <w:r w:rsidR="00CA4809" w:rsidRPr="009A7CD6">
        <w:rPr>
          <w:rFonts w:ascii="Calibri" w:hAnsi="Calibri"/>
          <w:i/>
          <w:sz w:val="22"/>
          <w:szCs w:val="22"/>
        </w:rPr>
        <w:tab/>
      </w:r>
    </w:p>
    <w:p w:rsidR="00CA4809" w:rsidRPr="009A7CD6" w:rsidRDefault="00CA4809" w:rsidP="00CA4809">
      <w:pPr>
        <w:tabs>
          <w:tab w:val="left" w:pos="1760"/>
        </w:tabs>
        <w:rPr>
          <w:rFonts w:ascii="Calibri" w:hAnsi="Calibri"/>
          <w:sz w:val="22"/>
          <w:szCs w:val="22"/>
        </w:rPr>
      </w:pPr>
    </w:p>
    <w:p w:rsidR="00AF5CB3" w:rsidRPr="009A7CD6" w:rsidRDefault="00574539" w:rsidP="00314E57">
      <w:pPr>
        <w:rPr>
          <w:rFonts w:ascii="Calibri" w:hAnsi="Calibri"/>
          <w:i/>
          <w:sz w:val="20"/>
          <w:szCs w:val="20"/>
        </w:rPr>
      </w:pPr>
      <w:r w:rsidRPr="009A7CD6">
        <w:rPr>
          <w:rFonts w:ascii="Calibri" w:hAnsi="Calibri"/>
          <w:i/>
          <w:sz w:val="20"/>
          <w:szCs w:val="20"/>
        </w:rPr>
        <w:t>Source</w:t>
      </w:r>
      <w:r w:rsidR="00AF5CB3" w:rsidRPr="009A7CD6">
        <w:rPr>
          <w:rFonts w:ascii="Calibri" w:hAnsi="Calibri"/>
          <w:i/>
          <w:sz w:val="20"/>
          <w:szCs w:val="20"/>
        </w:rPr>
        <w:t>s</w:t>
      </w:r>
      <w:r w:rsidRPr="009A7CD6">
        <w:rPr>
          <w:rFonts w:ascii="Calibri" w:hAnsi="Calibri"/>
          <w:i/>
          <w:sz w:val="20"/>
          <w:szCs w:val="20"/>
        </w:rPr>
        <w:t xml:space="preserve">: </w:t>
      </w:r>
    </w:p>
    <w:p w:rsidR="00AF5CB3" w:rsidRPr="009A7CD6" w:rsidRDefault="00AF5CB3" w:rsidP="00314E57">
      <w:pPr>
        <w:rPr>
          <w:rFonts w:ascii="Calibri" w:hAnsi="Calibri"/>
          <w:i/>
          <w:sz w:val="20"/>
          <w:szCs w:val="20"/>
        </w:rPr>
      </w:pPr>
    </w:p>
    <w:p w:rsidR="00314E57" w:rsidRPr="009A7CD6" w:rsidRDefault="00CA4809" w:rsidP="00314E57">
      <w:pPr>
        <w:rPr>
          <w:rFonts w:ascii="Calibri" w:hAnsi="Calibri"/>
          <w:sz w:val="20"/>
          <w:szCs w:val="20"/>
        </w:rPr>
      </w:pPr>
      <w:r w:rsidRPr="009A7CD6">
        <w:rPr>
          <w:rFonts w:ascii="Calibri" w:hAnsi="Calibri"/>
          <w:sz w:val="20"/>
          <w:szCs w:val="20"/>
        </w:rPr>
        <w:t>Austin</w:t>
      </w:r>
      <w:r w:rsidR="00972F4A" w:rsidRPr="009A7CD6">
        <w:rPr>
          <w:rFonts w:ascii="Calibri" w:hAnsi="Calibri"/>
          <w:sz w:val="20"/>
          <w:szCs w:val="20"/>
        </w:rPr>
        <w:t xml:space="preserve"> City Code*</w:t>
      </w:r>
    </w:p>
    <w:p w:rsidR="00CA4809" w:rsidRPr="009A7CD6" w:rsidRDefault="008F5919" w:rsidP="006C0425">
      <w:pPr>
        <w:tabs>
          <w:tab w:val="right" w:pos="9360"/>
        </w:tabs>
        <w:rPr>
          <w:rFonts w:ascii="Calibri" w:hAnsi="Calibri"/>
          <w:sz w:val="20"/>
          <w:szCs w:val="20"/>
        </w:rPr>
      </w:pPr>
      <w:hyperlink r:id="rId9" w:history="1">
        <w:r w:rsidR="00A85523" w:rsidRPr="009A7CD6">
          <w:rPr>
            <w:rStyle w:val="Hyperlink"/>
            <w:rFonts w:ascii="Calibri" w:hAnsi="Calibri"/>
            <w:sz w:val="20"/>
            <w:szCs w:val="20"/>
          </w:rPr>
          <w:t>http://www.amlegal.com/nxt/gateway.dll/Texas/austin/title25landdevelopment/chapter25-2zoning?f=templates$fn=default.htm$3.0$vid=amlegal:austin_tx$anc=JD_25-2-356</w:t>
        </w:r>
      </w:hyperlink>
      <w:r w:rsidR="00CA4809" w:rsidRPr="009A7CD6">
        <w:rPr>
          <w:rFonts w:ascii="Calibri" w:hAnsi="Calibri"/>
          <w:sz w:val="20"/>
          <w:szCs w:val="20"/>
        </w:rPr>
        <w:t xml:space="preserve"> </w:t>
      </w:r>
    </w:p>
    <w:p w:rsidR="006C0425" w:rsidRPr="009A7CD6" w:rsidRDefault="003E12DA" w:rsidP="006C0425">
      <w:pPr>
        <w:tabs>
          <w:tab w:val="right" w:pos="9360"/>
        </w:tabs>
        <w:rPr>
          <w:rFonts w:ascii="Calibri" w:hAnsi="Calibri"/>
          <w:i/>
          <w:sz w:val="20"/>
          <w:szCs w:val="20"/>
        </w:rPr>
      </w:pPr>
      <w:r w:rsidRPr="009A7CD6">
        <w:rPr>
          <w:rFonts w:ascii="Calibri" w:hAnsi="Calibri"/>
          <w:i/>
          <w:sz w:val="20"/>
          <w:szCs w:val="20"/>
        </w:rPr>
        <w:t xml:space="preserve"> </w:t>
      </w:r>
    </w:p>
    <w:p w:rsidR="00AF5CB3" w:rsidRPr="009A7CD6" w:rsidRDefault="00AF5CB3" w:rsidP="00AF5CB3">
      <w:pPr>
        <w:rPr>
          <w:rFonts w:ascii="Calibri" w:hAnsi="Calibri"/>
          <w:i/>
          <w:sz w:val="20"/>
          <w:szCs w:val="20"/>
        </w:rPr>
      </w:pPr>
      <w:r w:rsidRPr="009A7CD6">
        <w:rPr>
          <w:rFonts w:ascii="Calibri" w:hAnsi="Calibri"/>
          <w:i/>
          <w:sz w:val="20"/>
          <w:szCs w:val="20"/>
        </w:rPr>
        <w:t>DSIRE Database</w:t>
      </w:r>
    </w:p>
    <w:p w:rsidR="00AF5CB3" w:rsidRPr="009A7CD6" w:rsidRDefault="008F5919" w:rsidP="00AF5CB3">
      <w:pPr>
        <w:tabs>
          <w:tab w:val="right" w:pos="9360"/>
        </w:tabs>
        <w:rPr>
          <w:rFonts w:ascii="Calibri" w:hAnsi="Calibri"/>
          <w:i/>
          <w:sz w:val="20"/>
          <w:szCs w:val="20"/>
        </w:rPr>
      </w:pPr>
      <w:hyperlink r:id="rId10" w:history="1">
        <w:r w:rsidR="00AF5CB3" w:rsidRPr="009A7CD6">
          <w:rPr>
            <w:rStyle w:val="Hyperlink"/>
            <w:rFonts w:ascii="Calibri" w:hAnsi="Calibri"/>
            <w:i/>
            <w:sz w:val="20"/>
            <w:szCs w:val="20"/>
          </w:rPr>
          <w:t>http://www.dsireusa.org/incentives/incentive.cfm?Incentive_Code=CA09R&amp;re=1&amp;ee=0</w:t>
        </w:r>
      </w:hyperlink>
      <w:r w:rsidR="00AF5CB3" w:rsidRPr="009A7CD6">
        <w:rPr>
          <w:rFonts w:ascii="Calibri" w:hAnsi="Calibri"/>
          <w:i/>
          <w:sz w:val="20"/>
          <w:szCs w:val="20"/>
        </w:rPr>
        <w:t xml:space="preserve"> </w:t>
      </w:r>
    </w:p>
    <w:p w:rsidR="00AF5CB3" w:rsidRPr="009A7CD6" w:rsidRDefault="00AF5CB3" w:rsidP="006C0425">
      <w:pPr>
        <w:tabs>
          <w:tab w:val="right" w:pos="9360"/>
        </w:tabs>
        <w:rPr>
          <w:rFonts w:ascii="Calibri" w:hAnsi="Calibri"/>
          <w:i/>
          <w:sz w:val="20"/>
          <w:szCs w:val="20"/>
        </w:rPr>
      </w:pPr>
    </w:p>
    <w:p w:rsidR="00972F4A" w:rsidRPr="009A7CD6" w:rsidRDefault="00972F4A" w:rsidP="006C0425">
      <w:pPr>
        <w:tabs>
          <w:tab w:val="right" w:pos="9360"/>
        </w:tabs>
        <w:rPr>
          <w:rFonts w:ascii="Calibri" w:hAnsi="Calibri"/>
          <w:sz w:val="20"/>
        </w:rPr>
      </w:pPr>
      <w:r w:rsidRPr="009A7CD6">
        <w:rPr>
          <w:rFonts w:ascii="Calibri" w:hAnsi="Calibri"/>
          <w:sz w:val="20"/>
          <w:szCs w:val="20"/>
        </w:rPr>
        <w:t>*If link doesn’t automatically redirect</w:t>
      </w:r>
      <w:r w:rsidRPr="009A7CD6">
        <w:rPr>
          <w:rFonts w:ascii="Calibri" w:hAnsi="Calibri"/>
          <w:sz w:val="20"/>
        </w:rPr>
        <w:t>, copy and paste into browser and remove any spaces that may exist.</w:t>
      </w:r>
    </w:p>
    <w:sectPr w:rsidR="00972F4A" w:rsidRPr="009A7CD6" w:rsidSect="0047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1C9" w:rsidRDefault="001061C9" w:rsidP="006C0425">
      <w:r>
        <w:separator/>
      </w:r>
    </w:p>
  </w:endnote>
  <w:endnote w:type="continuationSeparator" w:id="0">
    <w:p w:rsidR="001061C9" w:rsidRDefault="001061C9" w:rsidP="006C0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1C9" w:rsidRDefault="001061C9" w:rsidP="006C0425">
      <w:r>
        <w:separator/>
      </w:r>
    </w:p>
  </w:footnote>
  <w:footnote w:type="continuationSeparator" w:id="0">
    <w:p w:rsidR="001061C9" w:rsidRDefault="001061C9" w:rsidP="006C0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686C"/>
    <w:multiLevelType w:val="hybridMultilevel"/>
    <w:tmpl w:val="8E44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D28FC"/>
    <w:multiLevelType w:val="hybridMultilevel"/>
    <w:tmpl w:val="2A40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7163C"/>
    <w:rsid w:val="00000D12"/>
    <w:rsid w:val="001061C9"/>
    <w:rsid w:val="001B46D7"/>
    <w:rsid w:val="00314E57"/>
    <w:rsid w:val="003C6029"/>
    <w:rsid w:val="003E12DA"/>
    <w:rsid w:val="0047163C"/>
    <w:rsid w:val="00524F2B"/>
    <w:rsid w:val="00574539"/>
    <w:rsid w:val="005C53A8"/>
    <w:rsid w:val="005E67A9"/>
    <w:rsid w:val="00680675"/>
    <w:rsid w:val="006C0425"/>
    <w:rsid w:val="007039B6"/>
    <w:rsid w:val="007705BB"/>
    <w:rsid w:val="008F5919"/>
    <w:rsid w:val="009152E0"/>
    <w:rsid w:val="00972F4A"/>
    <w:rsid w:val="009A7CD6"/>
    <w:rsid w:val="009C2248"/>
    <w:rsid w:val="00A85523"/>
    <w:rsid w:val="00AF5CB3"/>
    <w:rsid w:val="00C3075A"/>
    <w:rsid w:val="00CA4809"/>
    <w:rsid w:val="00FA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63C"/>
  </w:style>
  <w:style w:type="paragraph" w:styleId="Header">
    <w:name w:val="header"/>
    <w:basedOn w:val="Normal"/>
    <w:link w:val="HeaderChar"/>
    <w:uiPriority w:val="99"/>
    <w:unhideWhenUsed/>
    <w:rsid w:val="006C04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425"/>
  </w:style>
  <w:style w:type="paragraph" w:styleId="Footer">
    <w:name w:val="footer"/>
    <w:basedOn w:val="Normal"/>
    <w:link w:val="FooterChar"/>
    <w:uiPriority w:val="99"/>
    <w:unhideWhenUsed/>
    <w:rsid w:val="006C04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425"/>
  </w:style>
  <w:style w:type="character" w:styleId="Hyperlink">
    <w:name w:val="Hyperlink"/>
    <w:basedOn w:val="DefaultParagraphFont"/>
    <w:uiPriority w:val="99"/>
    <w:unhideWhenUsed/>
    <w:rsid w:val="006C04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46D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5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7163C"/>
  </w:style>
  <w:style w:type="paragraph" w:styleId="Header">
    <w:name w:val="header"/>
    <w:basedOn w:val="Normal"/>
    <w:link w:val="HeaderChar"/>
    <w:uiPriority w:val="99"/>
    <w:unhideWhenUsed/>
    <w:rsid w:val="006C04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425"/>
  </w:style>
  <w:style w:type="paragraph" w:styleId="Footer">
    <w:name w:val="footer"/>
    <w:basedOn w:val="Normal"/>
    <w:link w:val="FooterChar"/>
    <w:uiPriority w:val="99"/>
    <w:unhideWhenUsed/>
    <w:rsid w:val="006C04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425"/>
  </w:style>
  <w:style w:type="character" w:styleId="Hyperlink">
    <w:name w:val="Hyperlink"/>
    <w:basedOn w:val="DefaultParagraphFont"/>
    <w:uiPriority w:val="99"/>
    <w:unhideWhenUsed/>
    <w:rsid w:val="006C04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46D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5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073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495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8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4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4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4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4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62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2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6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61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sireusa.org/incentives/incentive.cfm?Incentive_Code=CA09R&amp;re=1&amp;ee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legal.com/nxt/gateway.dll/Texas/austin/title25landdevelopment/chapter25-2zoning?f=templates$fn=default.htm$3.0$vid=amlegal:austin_tx$anc=JD_25-2-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Espinoza</dc:creator>
  <cp:lastModifiedBy>Thomas, Optony</cp:lastModifiedBy>
  <cp:revision>2</cp:revision>
  <cp:lastPrinted>2012-07-02T20:14:00Z</cp:lastPrinted>
  <dcterms:created xsi:type="dcterms:W3CDTF">2013-12-02T16:11:00Z</dcterms:created>
  <dcterms:modified xsi:type="dcterms:W3CDTF">2013-12-02T16:11:00Z</dcterms:modified>
</cp:coreProperties>
</file>