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AD" w:rsidRPr="003E7012" w:rsidRDefault="00CE05AD" w:rsidP="00CE05AD">
      <w:pPr>
        <w:rPr>
          <w:rFonts w:ascii="Calibri" w:eastAsia="Times New Roman" w:hAnsi="Calibri" w:cs="Arial"/>
          <w:color w:val="000000"/>
          <w:sz w:val="32"/>
          <w:shd w:val="clear" w:color="auto" w:fill="FFFFFF"/>
        </w:rPr>
      </w:pPr>
      <w:r w:rsidRPr="003E7012">
        <w:rPr>
          <w:rFonts w:ascii="Calibri" w:eastAsia="Times New Roman" w:hAnsi="Calibri" w:cs="Arial"/>
          <w:color w:val="000000"/>
          <w:sz w:val="32"/>
          <w:shd w:val="clear" w:color="auto" w:fill="FFFFFF"/>
        </w:rPr>
        <w:t>Model Zoning Code for Solar Energy System Height Limit Exemption</w:t>
      </w:r>
    </w:p>
    <w:p w:rsidR="00CE05AD" w:rsidRPr="003E7012" w:rsidRDefault="00CE05AD" w:rsidP="00CE05AD">
      <w:pPr>
        <w:rPr>
          <w:rFonts w:ascii="Calibri" w:eastAsia="Times New Roman" w:hAnsi="Calibri" w:cs="Arial"/>
          <w:b/>
          <w:sz w:val="32"/>
          <w:szCs w:val="22"/>
          <w:shd w:val="clear" w:color="auto" w:fill="FFFFFF"/>
        </w:rPr>
      </w:pPr>
      <w:r w:rsidRPr="003E7012">
        <w:rPr>
          <w:rFonts w:ascii="Calibri" w:eastAsia="Times New Roman" w:hAnsi="Calibri" w:cs="Arial"/>
          <w:b/>
          <w:sz w:val="32"/>
          <w:szCs w:val="22"/>
          <w:shd w:val="clear" w:color="auto" w:fill="FFFFFF"/>
        </w:rPr>
        <w:t>City of Austin, Texas</w:t>
      </w:r>
    </w:p>
    <w:p w:rsidR="00CE05AD" w:rsidRPr="003E7012" w:rsidRDefault="00CE05AD" w:rsidP="00CE05AD">
      <w:pPr>
        <w:rPr>
          <w:rFonts w:ascii="Calibri" w:eastAsia="Times New Roman" w:hAnsi="Calibri" w:cs="Arial"/>
          <w:sz w:val="22"/>
          <w:szCs w:val="22"/>
          <w:shd w:val="clear" w:color="auto" w:fill="FFFFFF"/>
        </w:rPr>
      </w:pPr>
    </w:p>
    <w:p w:rsidR="00CE05AD" w:rsidRPr="003E7012" w:rsidRDefault="00CE05AD" w:rsidP="00CE05AD">
      <w:pPr>
        <w:rPr>
          <w:rFonts w:ascii="Calibri" w:eastAsia="Times New Roman" w:hAnsi="Calibri" w:cs="Arial"/>
          <w:b/>
          <w:sz w:val="22"/>
          <w:szCs w:val="22"/>
          <w:u w:val="single"/>
          <w:shd w:val="clear" w:color="auto" w:fill="FFFFFF"/>
        </w:rPr>
      </w:pPr>
      <w:r w:rsidRPr="003E7012">
        <w:rPr>
          <w:rFonts w:ascii="Calibri" w:eastAsia="Times New Roman" w:hAnsi="Calibri" w:cs="Times New Roman"/>
          <w:b/>
          <w:bCs/>
          <w:sz w:val="22"/>
          <w:szCs w:val="22"/>
          <w:u w:val="single"/>
          <w:shd w:val="clear" w:color="auto" w:fill="FFFFFF"/>
        </w:rPr>
        <w:t>Height Limit Exceptions</w:t>
      </w:r>
    </w:p>
    <w:p w:rsidR="00CE05AD" w:rsidRPr="003E7012" w:rsidRDefault="00CE05AD" w:rsidP="00CE05AD">
      <w:pPr>
        <w:rPr>
          <w:rFonts w:ascii="Calibri" w:eastAsia="Times New Roman" w:hAnsi="Calibri" w:cs="Times New Roman"/>
          <w:sz w:val="22"/>
          <w:szCs w:val="22"/>
        </w:rPr>
      </w:pPr>
      <w:r w:rsidRPr="003E7012">
        <w:rPr>
          <w:rFonts w:ascii="Calibri" w:eastAsia="Times New Roman" w:hAnsi="Calibri" w:cs="Arial"/>
          <w:sz w:val="22"/>
          <w:szCs w:val="22"/>
          <w:shd w:val="clear" w:color="auto" w:fill="FFFFFF"/>
        </w:rPr>
        <w:t xml:space="preserve">Austin Zoning Code Section </w:t>
      </w:r>
      <w:r w:rsidRPr="003E7012">
        <w:rPr>
          <w:rFonts w:ascii="Calibri" w:eastAsia="Times New Roman" w:hAnsi="Calibri" w:cs="Times New Roman"/>
          <w:bCs/>
          <w:sz w:val="22"/>
          <w:szCs w:val="22"/>
          <w:shd w:val="clear" w:color="auto" w:fill="FFFFFF"/>
        </w:rPr>
        <w:t>25-2-531</w:t>
      </w:r>
      <w:r w:rsidRPr="003E7012">
        <w:rPr>
          <w:rFonts w:ascii="Calibri" w:eastAsia="Times New Roman" w:hAnsi="Calibri" w:cs="Times New Roman"/>
          <w:b/>
          <w:bCs/>
          <w:sz w:val="22"/>
          <w:szCs w:val="22"/>
          <w:shd w:val="clear" w:color="auto" w:fill="FFFFFF"/>
        </w:rPr>
        <w:t xml:space="preserve"> </w:t>
      </w:r>
      <w:r w:rsidRPr="003E7012">
        <w:rPr>
          <w:rFonts w:ascii="Calibri" w:eastAsia="Times New Roman" w:hAnsi="Calibri" w:cs="Arial"/>
          <w:sz w:val="22"/>
          <w:szCs w:val="22"/>
          <w:shd w:val="clear" w:color="auto" w:fill="FFFFFF"/>
        </w:rPr>
        <w:t>provides a height limitation exemption for solar installations. Solar installations may exceed the zoning district height limit by 15% or the amount necessary to comply with a federal or state regula</w:t>
      </w:r>
      <w:bookmarkStart w:id="0" w:name="_GoBack"/>
      <w:bookmarkEnd w:id="0"/>
      <w:r w:rsidRPr="003E7012">
        <w:rPr>
          <w:rFonts w:ascii="Calibri" w:eastAsia="Times New Roman" w:hAnsi="Calibri" w:cs="Arial"/>
          <w:sz w:val="22"/>
          <w:szCs w:val="22"/>
          <w:shd w:val="clear" w:color="auto" w:fill="FFFFFF"/>
        </w:rPr>
        <w:t>tion, whichever is greater.</w:t>
      </w:r>
      <w:r w:rsidRPr="003E7012">
        <w:rPr>
          <w:rStyle w:val="apple-converted-space"/>
          <w:rFonts w:ascii="Calibri" w:eastAsia="Times New Roman" w:hAnsi="Calibri" w:cs="Arial"/>
          <w:sz w:val="22"/>
          <w:szCs w:val="22"/>
          <w:shd w:val="clear" w:color="auto" w:fill="FFFFFF"/>
        </w:rPr>
        <w:t> </w:t>
      </w:r>
    </w:p>
    <w:p w:rsidR="00CE05AD" w:rsidRPr="003E7012" w:rsidRDefault="00CE05AD" w:rsidP="00CE05AD">
      <w:pPr>
        <w:tabs>
          <w:tab w:val="left" w:pos="1760"/>
        </w:tabs>
        <w:rPr>
          <w:rFonts w:ascii="Calibri" w:hAnsi="Calibri"/>
          <w:i/>
          <w:sz w:val="16"/>
          <w:szCs w:val="22"/>
        </w:rPr>
      </w:pPr>
    </w:p>
    <w:p w:rsidR="00CE05AD" w:rsidRPr="003E7012" w:rsidRDefault="00CE05AD" w:rsidP="00CE05AD">
      <w:pPr>
        <w:tabs>
          <w:tab w:val="left" w:pos="1760"/>
        </w:tabs>
        <w:rPr>
          <w:rFonts w:ascii="Calibri" w:hAnsi="Calibri"/>
          <w:i/>
          <w:sz w:val="16"/>
          <w:szCs w:val="22"/>
        </w:rPr>
      </w:pPr>
      <w:r w:rsidRPr="003E7012">
        <w:rPr>
          <w:rFonts w:ascii="Calibri" w:hAnsi="Calibri"/>
          <w:i/>
          <w:sz w:val="16"/>
          <w:szCs w:val="22"/>
        </w:rPr>
        <w:tab/>
      </w:r>
    </w:p>
    <w:p w:rsidR="00CE05AD" w:rsidRPr="00CE05AD" w:rsidRDefault="00CE05AD" w:rsidP="00CE05AD">
      <w:pPr>
        <w:rPr>
          <w:rFonts w:ascii="Calibri" w:eastAsia="Times New Roman" w:hAnsi="Calibri" w:cs="Times New Roman"/>
          <w:b/>
          <w:bCs/>
          <w:i/>
          <w:color w:val="000080"/>
          <w:sz w:val="20"/>
          <w:szCs w:val="27"/>
        </w:rPr>
      </w:pPr>
      <w:r w:rsidRPr="003E7012">
        <w:rPr>
          <w:rFonts w:ascii="Calibri" w:eastAsia="Times New Roman" w:hAnsi="Calibri" w:cs="Times New Roman"/>
          <w:b/>
          <w:bCs/>
          <w:i/>
          <w:noProof/>
          <w:color w:val="0000FF"/>
          <w:sz w:val="20"/>
          <w:szCs w:val="27"/>
        </w:rPr>
        <w:drawing>
          <wp:inline distT="0" distB="0" distL="0" distR="0">
            <wp:extent cx="203200" cy="203200"/>
            <wp:effectExtent l="0" t="0" r="0" b="0"/>
            <wp:docPr id="2" name="Picture 1" descr="oo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kmark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JD_25-2-531"/>
      <w:bookmarkEnd w:id="1"/>
      <w:r w:rsidRPr="00CE05AD">
        <w:rPr>
          <w:rFonts w:ascii="Calibri" w:eastAsia="Times New Roman" w:hAnsi="Calibri" w:cs="Times New Roman"/>
          <w:b/>
          <w:bCs/>
          <w:i/>
          <w:color w:val="000080"/>
          <w:sz w:val="20"/>
          <w:szCs w:val="27"/>
        </w:rPr>
        <w:t>§ 25-2-531</w:t>
      </w:r>
      <w:proofErr w:type="gramStart"/>
      <w:r w:rsidRPr="00CE05AD">
        <w:rPr>
          <w:rFonts w:ascii="Calibri" w:eastAsia="Times New Roman" w:hAnsi="Calibri" w:cs="Times New Roman"/>
          <w:b/>
          <w:bCs/>
          <w:i/>
          <w:color w:val="000080"/>
          <w:sz w:val="20"/>
          <w:szCs w:val="27"/>
        </w:rPr>
        <w:t>  HEIGHT</w:t>
      </w:r>
      <w:proofErr w:type="gramEnd"/>
      <w:r w:rsidRPr="00CE05AD">
        <w:rPr>
          <w:rFonts w:ascii="Calibri" w:eastAsia="Times New Roman" w:hAnsi="Calibri" w:cs="Times New Roman"/>
          <w:b/>
          <w:bCs/>
          <w:i/>
          <w:color w:val="000080"/>
          <w:sz w:val="20"/>
          <w:szCs w:val="27"/>
        </w:rPr>
        <w:t xml:space="preserve"> LIMIT EXCEPTIONS.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(A)   This section provides exceptions to zoning district height limits.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(B)   Subsection (C) applies to: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(1)   parapet walls, chimneys, vents, and mechanical or safety features including fire towers, stairways, elevator penthouses, heating or cooling equipment, solar installations, and protective covers; and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(2)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ornamental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towers, cupolas, domes, and spires that are not designed for occupancy.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(C)   A structure described in Subsection (B) may exceed a zoning district height limit by the greater of: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(1)   15 percent;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(2)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the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amount necessary to comply with a federal or state regulation;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(3)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for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a stack or vent, the amount necessary to comply with generally accepted engineering standards; or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(4)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for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a spire, 30 percent.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(D)   The height of a home radio or television receiving antenna or a flagpole may not exceed the lesser of: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(1)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a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.50 feet; or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(2)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if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attached to a building, 25 feet above the building; or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(3)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if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located on the ground, 125 percent of the zoning district height limit.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(E)   A radio tower operated by a licensed amateur radio operator may not exceed a height of 60 feet plus 15 feet for antennae.  The Land Use Commission may approve a greater height as a conditional use.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(F)   An antenna located on a building in a non-residential zoning district may exceed the zoning district height limit by not more than 20 feet.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(G)   A fly tower that is constructed within a performing arts theater that seats 300 or more people may be up to 80 feet in height, regardless of the zoning district height limit, unless a lower height limit is required by</w:t>
      </w:r>
      <w:r w:rsidRPr="003E7012">
        <w:rPr>
          <w:rFonts w:ascii="Calibri" w:eastAsia="Times New Roman" w:hAnsi="Calibri" w:cs="Times New Roman"/>
          <w:i/>
          <w:color w:val="000000"/>
          <w:sz w:val="20"/>
          <w:szCs w:val="27"/>
        </w:rPr>
        <w:t> </w:t>
      </w: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City Code Chapter 25-2, Article 10 (</w:t>
      </w:r>
      <w:r w:rsidRPr="00CE05AD">
        <w:rPr>
          <w:rFonts w:ascii="Calibri" w:eastAsia="Times New Roman" w:hAnsi="Calibri" w:cs="Times New Roman"/>
          <w:i/>
          <w:iCs/>
          <w:color w:val="000000"/>
          <w:sz w:val="20"/>
          <w:szCs w:val="27"/>
        </w:rPr>
        <w:t>Compatibility Standards</w:t>
      </w: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).  The fly tower must be: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(1)   </w:t>
      </w:r>
      <w:proofErr w:type="gramStart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located</w:t>
      </w:r>
      <w:proofErr w:type="gramEnd"/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 xml:space="preserve"> on land owned by the City of Austin; and</w:t>
      </w:r>
    </w:p>
    <w:p w:rsidR="00CE05AD" w:rsidRPr="00CE05AD" w:rsidRDefault="00CE05AD" w:rsidP="00CE05AD">
      <w:pPr>
        <w:rPr>
          <w:rFonts w:ascii="Calibri" w:eastAsia="Times New Roman" w:hAnsi="Calibri" w:cs="Times New Roman"/>
          <w:i/>
          <w:color w:val="000000"/>
          <w:sz w:val="20"/>
          <w:szCs w:val="27"/>
        </w:rPr>
      </w:pPr>
      <w:r w:rsidRPr="00CE05AD">
        <w:rPr>
          <w:rFonts w:ascii="Calibri" w:eastAsia="Times New Roman" w:hAnsi="Calibri" w:cs="Times New Roman"/>
          <w:i/>
          <w:color w:val="000000"/>
          <w:sz w:val="20"/>
          <w:szCs w:val="27"/>
        </w:rPr>
        <w:t>      (2)   designed and used for moving set pieces, lights, microphones, and other equipment on and off stage.</w:t>
      </w:r>
    </w:p>
    <w:p w:rsidR="00CE05AD" w:rsidRPr="003E7012" w:rsidRDefault="00CE05AD" w:rsidP="00CE05AD">
      <w:pPr>
        <w:tabs>
          <w:tab w:val="left" w:pos="1760"/>
        </w:tabs>
        <w:rPr>
          <w:rFonts w:ascii="Calibri" w:hAnsi="Calibri"/>
          <w:sz w:val="22"/>
          <w:szCs w:val="22"/>
        </w:rPr>
      </w:pPr>
    </w:p>
    <w:p w:rsidR="00CE05AD" w:rsidRPr="003E7012" w:rsidRDefault="00CE05AD" w:rsidP="00CE05AD">
      <w:pPr>
        <w:rPr>
          <w:rFonts w:ascii="Calibri" w:hAnsi="Calibri"/>
          <w:i/>
          <w:sz w:val="20"/>
          <w:szCs w:val="20"/>
        </w:rPr>
      </w:pPr>
      <w:r w:rsidRPr="003E7012">
        <w:rPr>
          <w:rFonts w:ascii="Calibri" w:hAnsi="Calibri"/>
          <w:i/>
          <w:sz w:val="20"/>
          <w:szCs w:val="20"/>
        </w:rPr>
        <w:t xml:space="preserve">Sources: </w:t>
      </w:r>
    </w:p>
    <w:p w:rsidR="00CE05AD" w:rsidRPr="003E7012" w:rsidRDefault="00CE05AD" w:rsidP="00CE05AD">
      <w:pPr>
        <w:rPr>
          <w:rFonts w:ascii="Calibri" w:hAnsi="Calibri"/>
          <w:i/>
          <w:sz w:val="20"/>
          <w:szCs w:val="20"/>
        </w:rPr>
      </w:pPr>
    </w:p>
    <w:p w:rsidR="00CE05AD" w:rsidRPr="003E7012" w:rsidRDefault="00CE05AD" w:rsidP="00CE05AD">
      <w:pPr>
        <w:rPr>
          <w:rFonts w:ascii="Calibri" w:hAnsi="Calibri"/>
          <w:i/>
          <w:sz w:val="20"/>
          <w:szCs w:val="20"/>
        </w:rPr>
      </w:pPr>
      <w:r w:rsidRPr="003E7012">
        <w:rPr>
          <w:rFonts w:ascii="Calibri" w:hAnsi="Calibri"/>
          <w:i/>
          <w:sz w:val="20"/>
          <w:szCs w:val="20"/>
        </w:rPr>
        <w:t>Austin City Code*</w:t>
      </w:r>
    </w:p>
    <w:p w:rsidR="00CE05AD" w:rsidRPr="003E7012" w:rsidRDefault="004F35E9" w:rsidP="00CE05AD">
      <w:pPr>
        <w:rPr>
          <w:rFonts w:ascii="Calibri" w:hAnsi="Calibri"/>
          <w:i/>
          <w:sz w:val="20"/>
          <w:szCs w:val="20"/>
        </w:rPr>
      </w:pPr>
      <w:hyperlink r:id="rId6" w:history="1">
        <w:r w:rsidR="00CE05AD" w:rsidRPr="003E7012">
          <w:rPr>
            <w:rStyle w:val="Hyperlink"/>
            <w:rFonts w:ascii="Calibri" w:hAnsi="Calibri"/>
            <w:i/>
            <w:sz w:val="20"/>
            <w:szCs w:val="20"/>
          </w:rPr>
          <w:t>http://www.amlegal.com/nxt/gateway.dll/Texas/austin/title25landdevelopment/chapter25-2zoning?f=templates$fn=default.htm$3.0$vid=amlegal:austin_tx$anc=JD_25-2-531</w:t>
        </w:r>
      </w:hyperlink>
      <w:r w:rsidR="00CE05AD" w:rsidRPr="003E7012">
        <w:rPr>
          <w:rFonts w:ascii="Calibri" w:hAnsi="Calibri"/>
          <w:i/>
          <w:sz w:val="20"/>
          <w:szCs w:val="20"/>
        </w:rPr>
        <w:t xml:space="preserve"> </w:t>
      </w:r>
    </w:p>
    <w:p w:rsidR="00CE05AD" w:rsidRPr="003E7012" w:rsidRDefault="00CE05AD" w:rsidP="00CE05AD">
      <w:pPr>
        <w:rPr>
          <w:rFonts w:ascii="Calibri" w:hAnsi="Calibri"/>
          <w:i/>
          <w:sz w:val="20"/>
          <w:szCs w:val="20"/>
        </w:rPr>
      </w:pPr>
    </w:p>
    <w:p w:rsidR="00CE05AD" w:rsidRPr="003E7012" w:rsidRDefault="00CE05AD" w:rsidP="00CE05AD">
      <w:pPr>
        <w:rPr>
          <w:rFonts w:ascii="Calibri" w:hAnsi="Calibri"/>
          <w:i/>
          <w:sz w:val="20"/>
          <w:szCs w:val="20"/>
        </w:rPr>
      </w:pPr>
      <w:r w:rsidRPr="003E7012">
        <w:rPr>
          <w:rFonts w:ascii="Calibri" w:hAnsi="Calibri"/>
          <w:i/>
          <w:sz w:val="20"/>
          <w:szCs w:val="20"/>
        </w:rPr>
        <w:t>DSIRE Database</w:t>
      </w:r>
    </w:p>
    <w:p w:rsidR="00CE05AD" w:rsidRPr="003E7012" w:rsidRDefault="004F35E9" w:rsidP="00CE05AD">
      <w:pPr>
        <w:tabs>
          <w:tab w:val="right" w:pos="9360"/>
        </w:tabs>
        <w:rPr>
          <w:rFonts w:ascii="Calibri" w:hAnsi="Calibri"/>
          <w:i/>
          <w:sz w:val="20"/>
          <w:szCs w:val="20"/>
        </w:rPr>
      </w:pPr>
      <w:hyperlink r:id="rId7" w:history="1">
        <w:r w:rsidR="00CE05AD" w:rsidRPr="003E7012">
          <w:rPr>
            <w:rStyle w:val="Hyperlink"/>
            <w:rFonts w:ascii="Calibri" w:hAnsi="Calibri"/>
            <w:i/>
            <w:sz w:val="20"/>
            <w:szCs w:val="20"/>
          </w:rPr>
          <w:t>http://www.dsireusa.org/incentives/incentive.cfm?Incentive_Code=CA09R&amp;re=1&amp;ee=0</w:t>
        </w:r>
      </w:hyperlink>
      <w:r w:rsidR="00CE05AD" w:rsidRPr="003E7012">
        <w:rPr>
          <w:rFonts w:ascii="Calibri" w:hAnsi="Calibri"/>
          <w:i/>
          <w:sz w:val="20"/>
          <w:szCs w:val="20"/>
        </w:rPr>
        <w:t xml:space="preserve"> </w:t>
      </w:r>
    </w:p>
    <w:p w:rsidR="009152E0" w:rsidRPr="003E7012" w:rsidRDefault="009152E0">
      <w:pPr>
        <w:rPr>
          <w:rFonts w:ascii="Calibri" w:hAnsi="Calibri"/>
          <w:sz w:val="20"/>
          <w:szCs w:val="20"/>
        </w:rPr>
      </w:pPr>
    </w:p>
    <w:p w:rsidR="00CE05AD" w:rsidRPr="003E7012" w:rsidRDefault="00CE05AD" w:rsidP="00CE05AD">
      <w:pPr>
        <w:tabs>
          <w:tab w:val="right" w:pos="9360"/>
        </w:tabs>
        <w:rPr>
          <w:rFonts w:ascii="Calibri" w:hAnsi="Calibri"/>
          <w:sz w:val="20"/>
          <w:szCs w:val="20"/>
        </w:rPr>
      </w:pPr>
      <w:r w:rsidRPr="003E7012">
        <w:rPr>
          <w:rFonts w:ascii="Calibri" w:hAnsi="Calibri"/>
          <w:sz w:val="20"/>
          <w:szCs w:val="20"/>
        </w:rPr>
        <w:t>*If link doesn’t automatically redirect, copy and paste into browser and remove any spaces that may exist.</w:t>
      </w:r>
    </w:p>
    <w:p w:rsidR="00CE05AD" w:rsidRPr="003E7012" w:rsidRDefault="00CE05AD">
      <w:pPr>
        <w:rPr>
          <w:rFonts w:ascii="Calibri" w:hAnsi="Calibri"/>
        </w:rPr>
      </w:pPr>
    </w:p>
    <w:sectPr w:rsidR="00CE05AD" w:rsidRPr="003E7012" w:rsidSect="0047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CE05AD"/>
    <w:rsid w:val="001F36A5"/>
    <w:rsid w:val="003E7012"/>
    <w:rsid w:val="004F35E9"/>
    <w:rsid w:val="009152E0"/>
    <w:rsid w:val="00CE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05AD"/>
  </w:style>
  <w:style w:type="character" w:styleId="Hyperlink">
    <w:name w:val="Hyperlink"/>
    <w:basedOn w:val="DefaultParagraphFont"/>
    <w:uiPriority w:val="99"/>
    <w:unhideWhenUsed/>
    <w:rsid w:val="00CE05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5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05AD"/>
  </w:style>
  <w:style w:type="character" w:styleId="Hyperlink">
    <w:name w:val="Hyperlink"/>
    <w:basedOn w:val="DefaultParagraphFont"/>
    <w:uiPriority w:val="99"/>
    <w:unhideWhenUsed/>
    <w:rsid w:val="00CE05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5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589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0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0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137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99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8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70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30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44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353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792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62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5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45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45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2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sireusa.org/incentives/incentive.cfm?Incentive_Code=CA09R&amp;re=1&amp;ee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legal.com/nxt/gateway.dll/Texas/austin/title25landdevelopment/chapter25-2zoning?f=templates$fn=default.htm$3.0$vid=amlegal:austin_tx$anc=JD_25-2-531" TargetMode="External"/><Relationship Id="rId5" Type="http://schemas.openxmlformats.org/officeDocument/2006/relationships/image" Target="media/image1.gif"/><Relationship Id="rId10" Type="http://schemas.microsoft.com/office/2007/relationships/stylesWithEffects" Target="stylesWithEffects.xml"/><Relationship Id="rId4" Type="http://schemas.openxmlformats.org/officeDocument/2006/relationships/hyperlink" Target="javascript:void(0)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Espinoza</dc:creator>
  <cp:lastModifiedBy>Thomas, Optony</cp:lastModifiedBy>
  <cp:revision>2</cp:revision>
  <dcterms:created xsi:type="dcterms:W3CDTF">2013-12-02T16:11:00Z</dcterms:created>
  <dcterms:modified xsi:type="dcterms:W3CDTF">2013-12-02T16:11:00Z</dcterms:modified>
</cp:coreProperties>
</file>